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AF7681">
        <w:rPr>
          <w:rFonts w:eastAsia="Calibri"/>
          <w:b/>
          <w:bCs/>
          <w:color w:val="auto"/>
          <w:szCs w:val="24"/>
          <w:lang w:val="ru-RU" w:eastAsia="en-US"/>
        </w:rPr>
        <w:t>Вестник Московского университета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auto"/>
          <w:szCs w:val="24"/>
          <w:lang w:val="ru-RU" w:eastAsia="en-US"/>
        </w:rPr>
      </w:pPr>
      <w:r w:rsidRPr="00AF7681">
        <w:rPr>
          <w:rFonts w:eastAsia="Calibri"/>
          <w:b/>
          <w:i/>
          <w:iCs/>
          <w:color w:val="auto"/>
          <w:szCs w:val="24"/>
          <w:lang w:val="ru-RU" w:eastAsia="en-US"/>
        </w:rPr>
        <w:t xml:space="preserve">Серия 11 Право 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AF7681">
        <w:rPr>
          <w:rFonts w:eastAsia="Calibri"/>
          <w:b/>
          <w:bCs/>
          <w:color w:val="auto"/>
          <w:szCs w:val="24"/>
          <w:lang w:val="ru-RU" w:eastAsia="en-US"/>
        </w:rPr>
        <w:t xml:space="preserve">Научный журнал 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val="ru-RU" w:eastAsia="en-US"/>
        </w:rPr>
      </w:pPr>
      <w:r w:rsidRPr="00AF7681">
        <w:rPr>
          <w:rFonts w:eastAsia="Calibri"/>
          <w:color w:val="auto"/>
          <w:szCs w:val="24"/>
          <w:lang w:val="ru-RU" w:eastAsia="en-US"/>
        </w:rPr>
        <w:t>Основан в ноябре 1946 г.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color w:val="auto"/>
          <w:szCs w:val="24"/>
          <w:lang w:val="ru-RU" w:eastAsia="en-US"/>
        </w:rPr>
      </w:pPr>
      <w:r w:rsidRPr="00AF7681">
        <w:rPr>
          <w:rFonts w:eastAsia="Calibri"/>
          <w:color w:val="auto"/>
          <w:szCs w:val="24"/>
          <w:lang w:val="ru-RU" w:eastAsia="en-US"/>
        </w:rPr>
        <w:t>Издательство Московского университета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i/>
          <w:iCs/>
          <w:color w:val="auto"/>
          <w:szCs w:val="24"/>
          <w:lang w:val="ru-RU" w:eastAsia="en-US"/>
        </w:rPr>
      </w:pP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i/>
          <w:iCs/>
          <w:color w:val="auto"/>
          <w:szCs w:val="24"/>
          <w:lang w:val="ru-RU" w:eastAsia="en-US"/>
        </w:rPr>
      </w:pPr>
      <w:proofErr w:type="gramStart"/>
      <w:r w:rsidRPr="00AF7681">
        <w:rPr>
          <w:rFonts w:eastAsia="Calibri"/>
          <w:i/>
          <w:iCs/>
          <w:color w:val="auto"/>
          <w:szCs w:val="24"/>
          <w:lang w:val="ru-RU" w:eastAsia="en-US"/>
        </w:rPr>
        <w:t>Выходит</w:t>
      </w:r>
      <w:proofErr w:type="gramEnd"/>
      <w:r w:rsidRPr="00AF7681">
        <w:rPr>
          <w:rFonts w:eastAsia="Calibri"/>
          <w:i/>
          <w:iCs/>
          <w:color w:val="auto"/>
          <w:szCs w:val="24"/>
          <w:lang w:val="ru-RU" w:eastAsia="en-US"/>
        </w:rPr>
        <w:t xml:space="preserve"> один раз в два месяца</w:t>
      </w: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</w:p>
    <w:p w:rsidR="00AF7681" w:rsidRPr="00AF7681" w:rsidRDefault="00AF7681" w:rsidP="00AF7681">
      <w:pPr>
        <w:autoSpaceDE w:val="0"/>
        <w:autoSpaceDN w:val="0"/>
        <w:adjustRightInd w:val="0"/>
        <w:jc w:val="both"/>
        <w:rPr>
          <w:rFonts w:eastAsia="Calibri"/>
          <w:b/>
          <w:bCs/>
          <w:color w:val="auto"/>
          <w:szCs w:val="24"/>
          <w:lang w:val="ru-RU" w:eastAsia="en-US"/>
        </w:rPr>
      </w:pPr>
      <w:r w:rsidRPr="00AF7681">
        <w:rPr>
          <w:rFonts w:eastAsia="Calibri"/>
          <w:b/>
          <w:bCs/>
          <w:color w:val="auto"/>
          <w:szCs w:val="24"/>
          <w:lang w:val="ru-RU" w:eastAsia="en-US"/>
        </w:rPr>
        <w:t>№ 2 – 2016 – Март – Апрель</w:t>
      </w:r>
    </w:p>
    <w:p w:rsidR="00AF7681" w:rsidRDefault="00AF7681" w:rsidP="00AF7681">
      <w:pPr>
        <w:autoSpaceDE w:val="0"/>
        <w:autoSpaceDN w:val="0"/>
        <w:adjustRightInd w:val="0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Default="00AF7681" w:rsidP="00AF7681">
      <w:pPr>
        <w:autoSpaceDE w:val="0"/>
        <w:autoSpaceDN w:val="0"/>
        <w:adjustRightInd w:val="0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М.Н. Марченко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, доктор юридических наук, профессор, заслуженный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деятель науки РФ, заведующий кафедрой теории государства и права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и политологии юридического факультета МГУ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8D6C29" w:rsidRPr="003C626C" w:rsidRDefault="00AF7681" w:rsidP="00291452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О </w:t>
      </w:r>
      <w:r w:rsidR="00291452">
        <w:rPr>
          <w:rFonts w:eastAsia="Newton-Bold"/>
          <w:b/>
          <w:bCs/>
          <w:color w:val="auto"/>
          <w:szCs w:val="24"/>
          <w:lang w:val="ru-RU" w:eastAsia="en-US"/>
        </w:rPr>
        <w:t>юридической природе и характере решений Европейского суда по правам человека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рассматривается круг вопросов, касающихся прецедентного характера решений Европейского суда по правам человека. Исходя из сложившейся в юридической науке концепции судебного прецедента, следует сказать, что решения Европейского суда по правам человека не обладают прецедентным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характером.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Европейский суд по правам человека, решения Суда,</w:t>
      </w:r>
      <w:r w:rsidR="006B78DA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концепция прецедента, судебный прецедент.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discusses a range of issues relating to the nature of the decisions of the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European Court of Human Rights. Based on the current concept of judicial precedent it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should be noted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that the European Court of Human Rights does not have a precedent.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European Court of Human Rights, Court decisions, precedent concept,</w:t>
      </w:r>
      <w:r w:rsidR="006B78DA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judicial precedent.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Regular"/>
          <w:color w:val="auto"/>
          <w:szCs w:val="24"/>
          <w:lang w:val="ru-RU" w:eastAsia="en-US"/>
        </w:rPr>
        <w:t>Проблемы совершенствования</w:t>
      </w:r>
      <w:r w:rsidR="006B78DA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российского законодательства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С.Ю. Филиппова,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кандидат юридических наук, доцент кафедры коммерческого права и основ правоведения МГУ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Гражданский кодекс Российской Федерации:</w:t>
      </w:r>
      <w:r w:rsidR="006B78DA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перемены. Каким быть Гражданскому</w:t>
      </w:r>
      <w:r w:rsidR="006B78DA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кодексу?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критически оценивается квалификация Гражданского кодекса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как кодифицированного акта более высокой по сравнению с иными федеральными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законами юридической силой, а также практика чрезмерного увеличения числа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федеральных законов в частноправовой сфере. Предлагается изменение способа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lastRenderedPageBreak/>
        <w:t>регламентации гражданских отношений путем прекращения практики регулирования имущественных и личных неимущественных отношений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,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основанных на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равенстве, автономии воли, имущественной самостоятельности их участников, федеральными законами. Гражданский кодекс Российской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Федерации должен служить подлинным регулятором экономических отношений.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Гражданский кодекс РФ, коллизии, кодекс, федеральный</w:t>
      </w:r>
      <w:r w:rsidR="006B78DA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закон, дозволительное регулирование.</w:t>
      </w:r>
    </w:p>
    <w:p w:rsidR="006B78DA" w:rsidRPr="00291452" w:rsidRDefault="006B78DA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The paper criticizes the qualifications of the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Civil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code as a codified act of a higher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legal force than other federal laws. Negatively assessed is the current practice of making a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large number of federal laws in the private law. It </w:t>
      </w:r>
      <w:proofErr w:type="gramStart"/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>is proposed</w:t>
      </w:r>
      <w:proofErr w:type="gramEnd"/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to discontinue this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practice.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The conclusion is that the Civil Code of the Rus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sian Federation should serve as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a genuine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regulator of economic relations.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Civil code of the Russian Federation, conflict of law, code, federal</w:t>
      </w:r>
      <w:r w:rsidR="006B78DA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law, permissible regulation.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Regular"/>
          <w:color w:val="auto"/>
          <w:szCs w:val="24"/>
          <w:lang w:val="ru-RU" w:eastAsia="en-US"/>
        </w:rPr>
        <w:t>Проблемы частного права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А</w:t>
      </w:r>
      <w:r w:rsidR="006B78DA" w:rsidRPr="003C626C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В. </w:t>
      </w:r>
      <w:proofErr w:type="spellStart"/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Белицкая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, кандидат юридических наук, доцент кафедры предпринимательского права юридического факультета МГУ</w:t>
      </w:r>
    </w:p>
    <w:p w:rsidR="003C626C" w:rsidRPr="003C626C" w:rsidRDefault="003C626C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291452" w:rsidRDefault="00AF7681" w:rsidP="00291452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Закрытые паевые инвестиционные фонды</w:t>
      </w:r>
      <w:r w:rsidR="00291452" w:rsidRPr="00291452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недвижимости: анализ их структурирования</w:t>
      </w:r>
      <w:r w:rsidR="00291452" w:rsidRPr="00291452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по законодательству РФ и зарубежных стран</w:t>
      </w:r>
    </w:p>
    <w:p w:rsidR="00AF7681" w:rsidRPr="00291452" w:rsidRDefault="00AF7681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в сравнительно-правовом аспекте рассматриваются инструменты коллективного инвестирования на рынке недвижимости. Обозначены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актуальные проблемные вопросы российского законодательства в отношении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закрытых паевых инвестиционных фондов и предложены пути их решения.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закрытый паевой инвестиционный фонд, инвестиционный</w:t>
      </w:r>
      <w:r w:rsidR="006B78DA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фонд недвижимости, инструменты коллективного инвестирования,</w:t>
      </w:r>
      <w:r w:rsidR="006B78DA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институциональные инвесторы, рынок недвижимости, инвестиционная деятельность.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considers collective investment instruments in real estate market in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comparative legal aspect. The author indicated current problematic issues of Russian</w:t>
      </w:r>
      <w:r w:rsidR="006B78DA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legislation in respect of closed-end mutual funds and their possible solutions.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closed-end investment fund, real estate investment fund, collective</w:t>
      </w:r>
      <w:r w:rsidR="006B78DA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investment instruments, institutional investors, real estate market, investment activity.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С</w:t>
      </w:r>
      <w:r w:rsidR="006B78DA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>А. Карелина</w:t>
      </w:r>
      <w:r w:rsidRPr="003C626C">
        <w:rPr>
          <w:rFonts w:eastAsia="Newton-Italic"/>
          <w:i/>
          <w:iCs/>
          <w:szCs w:val="24"/>
          <w:lang w:val="ru-RU" w:eastAsia="en-US"/>
        </w:rPr>
        <w:t xml:space="preserve">, доктор юридических наук, профессор кафедры предпринимательского права юридического факультета МГУ </w:t>
      </w:r>
      <w:r w:rsidRPr="003C626C">
        <w:rPr>
          <w:rFonts w:eastAsia="Newton-Italic"/>
          <w:i/>
          <w:iCs/>
          <w:color w:val="FFFFFF"/>
          <w:szCs w:val="24"/>
          <w:lang w:val="ru-RU" w:eastAsia="en-US"/>
        </w:rPr>
        <w:t>27</w:t>
      </w:r>
    </w:p>
    <w:p w:rsidR="006B78DA" w:rsidRPr="003C626C" w:rsidRDefault="006B78DA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Изменение правовой природы пая</w:t>
      </w:r>
      <w:r w:rsidR="006B78DA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в целях обеспечения доступа к имуществу,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lastRenderedPageBreak/>
        <w:t>составляющему паевой инвестиционный</w:t>
      </w:r>
      <w:r w:rsidR="006B78DA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фонд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В настоящее время обособление имущества </w:t>
      </w:r>
      <w:proofErr w:type="spellStart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ПИФа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является привлекательным орудием для вывода активов и последующего заявления о своем банкротстве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или в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преддверии банкротства. Особую сложность в контексте банкротства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учредителя </w:t>
      </w:r>
      <w:proofErr w:type="spellStart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ПИФа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вызывает обособление имущественного комплекса, которое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основывается на особом правовом режиме общей долевой собственности и договора доверительного управления </w:t>
      </w:r>
      <w:proofErr w:type="spellStart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ПИФом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. В статье анализируются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особенности</w:t>
      </w:r>
      <w:r w:rsidR="006B78DA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режима общей долевой собственности, установленного Законом об инвестиционных фондах и отличающегося от ГК РФ. Кроме того, исследуется правовая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природа паевых инвестиционных фондов и инвестиционного пая. Автором обосновывается необходимость изменения регламентирования правовой природы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инвестиционного пая, что позволит рассматривать его как ценную бумагу, удостоверяющую право требования к управляющей компании, т.е. речь идет о превращении инвестиционного пая в классическую обязательственную эмиссионную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ценную бумагу.</w:t>
      </w:r>
    </w:p>
    <w:p w:rsidR="00AF7681" w:rsidRPr="003C626C" w:rsidRDefault="00AF7681" w:rsidP="003C626C">
      <w:pPr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паевой инвестиционный фонд, доверительное управление,</w:t>
      </w:r>
      <w:r w:rsidR="003363E6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общая долевая собственность, обособленный имущественный комплекс,</w:t>
      </w:r>
      <w:r w:rsidR="003363E6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ценная бумага, инвестиционный пай, управляющая компания.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Nowadays, the segregation of property of mutual fund is an attractive tool for assets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stripping with following declaration of insolvenc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y or in pre-bankruptcy state. A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particular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challenge in the context of insolvency of mutual fund founder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is caused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by the segregation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of property, which is based on special regime of and fiduciary management agreement.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This article analyzes the features of the joint shared property regime established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by the Investment Funds Act and is different from the Russian Civil Code. In addition,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it explores the legal nature of mutual fund and investment share. The author argues the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necessity of changes in the current regulations of investment share of mutual fund’s legal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nature that allows us to consider it as a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security which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certifies claims to the Management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Company; therefore this refers to the conversion of investment share of mutual fund into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issue-grade security.</w:t>
      </w:r>
    </w:p>
    <w:p w:rsidR="003C626C" w:rsidRPr="003C626C" w:rsidRDefault="003C626C" w:rsidP="003C626C">
      <w:pPr>
        <w:autoSpaceDE w:val="0"/>
        <w:autoSpaceDN w:val="0"/>
        <w:adjustRightInd w:val="0"/>
        <w:jc w:val="both"/>
        <w:rPr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291452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mutual fund, fiduciary management, joint shared property, segregated</w:t>
      </w:r>
      <w:r w:rsidR="00291452" w:rsidRPr="00291452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property, security, investment share of mutual fund, Management Company.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Е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Б. </w:t>
      </w:r>
      <w:proofErr w:type="spellStart"/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Лаутс</w:t>
      </w:r>
      <w:proofErr w:type="spellEnd"/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,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кандидат юридических наук, доцент кафедры предпринимательского права юридического факультета МГУ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Преимущества и недостатки введения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в законодательство запрета для банков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осуществлять инвестирование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и иные виды предпринимательской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деятельности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России законодательно реализована концепция универсальной банковской деятельности. Кроме того, банки могут осуществлять банковскую и иную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lastRenderedPageBreak/>
        <w:t>предпринимательскую деятельность помимо прямо запрещенных видов такой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деятельности. В связи с различного рода злоупотреблениями со стороны банков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при осуществлении ими «непрофильной» деятельности, в том числе связанной с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инвестированием, направленным на вывод ликвидных активов, в статье с учетом зарубежного опыта рассмотрены преимущества и недостатки введения в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законодательство запрета для банков осуществлять иные, помимо банковской,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виды предпринимательской деятельности.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кредитная организация, банк, банковская деятельность,</w:t>
      </w:r>
      <w:r w:rsidR="003363E6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инвестиционная деятельность, инвестирование, закрытый паевой инвестиционный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proofErr w:type="spellStart"/>
      <w:proofErr w:type="gramStart"/>
      <w:r w:rsidRPr="003C626C">
        <w:rPr>
          <w:rFonts w:eastAsia="Newton-Regular"/>
          <w:color w:val="auto"/>
          <w:szCs w:val="24"/>
          <w:lang w:eastAsia="en-US"/>
        </w:rPr>
        <w:t>фонд</w:t>
      </w:r>
      <w:proofErr w:type="spellEnd"/>
      <w:proofErr w:type="gramEnd"/>
      <w:r w:rsidRPr="003C626C">
        <w:rPr>
          <w:rFonts w:eastAsia="Newton-Regular"/>
          <w:color w:val="auto"/>
          <w:szCs w:val="24"/>
          <w:lang w:eastAsia="en-US"/>
        </w:rPr>
        <w:t>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Russian law introduces the concept of universal banking.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Also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banks may perform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banking and other business activity except as expressly prohibited. In connection with</w:t>
      </w:r>
      <w:r w:rsidR="00291452" w:rsidRPr="00291452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various kinds of abuses by banks in the exercise of “non-core”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banking activities,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including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those related to investment, aimed at stripping of liquid assets, the article considers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advantages and disadvantages of the i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ntroduction in legislation of a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prohibition for banks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to undertake other business activity.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291452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credit organization, bank, banking, investment activity, investment,</w:t>
      </w:r>
      <w:r w:rsidR="00291452" w:rsidRPr="00291452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closed</w:t>
      </w:r>
      <w:r w:rsidRPr="00291452">
        <w:rPr>
          <w:rFonts w:eastAsia="Newton-Regular"/>
          <w:color w:val="auto"/>
          <w:szCs w:val="24"/>
          <w:lang w:eastAsia="en-US"/>
        </w:rPr>
        <w:t>-</w:t>
      </w:r>
      <w:r w:rsidRPr="003C626C">
        <w:rPr>
          <w:rFonts w:eastAsia="Newton-Regular"/>
          <w:color w:val="auto"/>
          <w:szCs w:val="24"/>
          <w:lang w:eastAsia="en-US"/>
        </w:rPr>
        <w:t>end</w:t>
      </w:r>
      <w:r w:rsidRPr="00291452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investment</w:t>
      </w:r>
      <w:r w:rsidRPr="00291452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fund</w:t>
      </w:r>
      <w:r w:rsidRPr="00291452">
        <w:rPr>
          <w:rFonts w:eastAsia="Newton-Regular"/>
          <w:color w:val="auto"/>
          <w:szCs w:val="24"/>
          <w:lang w:eastAsia="en-US"/>
        </w:rPr>
        <w:t>.</w:t>
      </w:r>
    </w:p>
    <w:p w:rsidR="003363E6" w:rsidRPr="00291452" w:rsidRDefault="003363E6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291452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А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Е. </w:t>
      </w:r>
      <w:proofErr w:type="spellStart"/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Молотников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, кандидат юридических наук, доцент кафедры</w:t>
      </w:r>
      <w:r w:rsid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предпринимательского права юридического факультета МГУ 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Л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А. </w:t>
      </w:r>
      <w:proofErr w:type="spellStart"/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Гарслян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, аспирант кафедры</w:t>
      </w:r>
      <w:r w:rsid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предпринимательского права юри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дического факультета МГУ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Новый подход к определению производных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финансовых инструментов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Статья освещает основные аспекты правовой квалификации производных</w:t>
      </w:r>
      <w:r w:rsid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финансовых инструментов на основе анализа различных трактовок данной категории в законодательстве, а также профессиональной и научной среде в различных странах. На основе анализа авторы предлагают собственное определение производного финансового инструмента.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производные финансовые инструменты, ценные бумаги,</w:t>
      </w:r>
      <w:r w:rsidR="003363E6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базовый актив, форвард, фьючерс.</w:t>
      </w:r>
    </w:p>
    <w:p w:rsidR="003363E6" w:rsidRPr="00291452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discusses the key aspects of the derivatives legal qualification based on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the analysis of various approaches to defining this category in the legislation, practice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and academia of different countries. As result of such analysis, the authors suggest their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own definition of derivatives.</w:t>
      </w:r>
    </w:p>
    <w:p w:rsidR="003363E6" w:rsidRPr="003C626C" w:rsidRDefault="003363E6" w:rsidP="003C626C">
      <w:pPr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derivatives, securities, underlying asset, forward, futures.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Regular"/>
          <w:color w:val="auto"/>
          <w:szCs w:val="24"/>
          <w:lang w:val="ru-RU" w:eastAsia="en-US"/>
        </w:rPr>
        <w:t>Проблемы криминологии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lastRenderedPageBreak/>
        <w:t>В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Д. Филимонов,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доктор юридических наук, профессор кафедры уголовного права Томского государственного университета, заслуженный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юрист РСФСР 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КРИМИНОЛОГИЧЕСКИЕ ОСНОВАНИЯ НОРМ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УГОЛОВНОГО ПРАВА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рассматриваются понятие криминологических оснований норм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уголовного права, криминологические основания норм, устанавливающих ответственность за совершение преступлений, и норм, регулирующих правоприменительную деятельность.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криминологические основания, нормы, устанавливающие</w:t>
      </w:r>
      <w:r w:rsidR="003363E6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ответственность, нормы, регулирующие правоприменительную деятельность.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discusses the concept of criminological foundation of criminal law,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criminological foundation of norms establishing responsibility for crimes, and norms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governing enforcement activities.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criminological foundation, norms establishing responsibility for</w:t>
      </w:r>
      <w:r w:rsidR="003363E6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crimes, norms governing enforcement activities.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Regular"/>
          <w:color w:val="auto"/>
          <w:szCs w:val="24"/>
          <w:lang w:val="ru-RU" w:eastAsia="en-US"/>
        </w:rPr>
        <w:t>Проблемы криминалистики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В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Я. </w:t>
      </w:r>
      <w:proofErr w:type="spellStart"/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Колдин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, доктор юридических наук, профессор кафедры криминалистики юридического факультета МГУ, заслуженный деятель науки РФ</w:t>
      </w:r>
      <w:r w:rsidR="003363E6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Электронная информация в праве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рассматриваются особенности декодирования и использования</w:t>
      </w:r>
      <w:r w:rsid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электронной информации в структуре информационного канала доказывания.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Regular"/>
          <w:b/>
          <w:bCs/>
          <w:i/>
          <w:iCs/>
          <w:color w:val="auto"/>
          <w:szCs w:val="24"/>
          <w:lang w:val="ru-RU" w:eastAsia="en-US"/>
        </w:rPr>
      </w:pPr>
    </w:p>
    <w:p w:rsidR="00AF7681" w:rsidRPr="00291452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Regular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э</w:t>
      </w:r>
      <w:r w:rsidRPr="003C626C">
        <w:rPr>
          <w:rFonts w:eastAsia="Newton-Regular"/>
          <w:color w:val="auto"/>
          <w:szCs w:val="24"/>
          <w:lang w:val="ru-RU" w:eastAsia="en-US"/>
        </w:rPr>
        <w:t xml:space="preserve">лектронная информация, </w:t>
      </w:r>
      <w:proofErr w:type="spellStart"/>
      <w:r w:rsidRPr="003C626C">
        <w:rPr>
          <w:rFonts w:eastAsia="Newton-Regular"/>
          <w:color w:val="auto"/>
          <w:szCs w:val="24"/>
          <w:lang w:val="ru-RU" w:eastAsia="en-US"/>
        </w:rPr>
        <w:t>правоприменение</w:t>
      </w:r>
      <w:proofErr w:type="spellEnd"/>
      <w:r w:rsidRPr="003C626C">
        <w:rPr>
          <w:rFonts w:eastAsia="Newton-Regular"/>
          <w:color w:val="auto"/>
          <w:szCs w:val="24"/>
          <w:lang w:val="ru-RU" w:eastAsia="en-US"/>
        </w:rPr>
        <w:t>, декодирование,</w:t>
      </w:r>
      <w:r w:rsidR="00291452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291452">
        <w:rPr>
          <w:rFonts w:eastAsia="Newton-Regular"/>
          <w:color w:val="auto"/>
          <w:szCs w:val="24"/>
          <w:lang w:val="ru-RU" w:eastAsia="en-US"/>
        </w:rPr>
        <w:t>доказывание.</w:t>
      </w:r>
    </w:p>
    <w:p w:rsidR="003363E6" w:rsidRPr="00291452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discusses decoding features and use of electronic information in the</w:t>
      </w:r>
      <w:r w:rsidR="003363E6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structure of the information channel of proof.</w:t>
      </w:r>
    </w:p>
    <w:p w:rsidR="003363E6" w:rsidRPr="003C626C" w:rsidRDefault="003363E6" w:rsidP="003C626C">
      <w:pPr>
        <w:jc w:val="both"/>
        <w:rPr>
          <w:rFonts w:eastAsia="Newton-Regular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Regular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electronic information, enforcement, decoding, proof.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szCs w:val="24"/>
          <w:lang w:val="ru-RU" w:eastAsia="en-US"/>
        </w:rPr>
      </w:pPr>
      <w:r w:rsidRPr="003C626C">
        <w:rPr>
          <w:rFonts w:eastAsia="Newton-Regular"/>
          <w:szCs w:val="24"/>
          <w:lang w:val="ru-RU" w:eastAsia="en-US"/>
        </w:rPr>
        <w:t>Проблемы университетского</w:t>
      </w:r>
      <w:r w:rsidR="003363E6" w:rsidRPr="003C626C">
        <w:rPr>
          <w:rFonts w:eastAsia="Newton-Regular"/>
          <w:szCs w:val="24"/>
          <w:lang w:val="ru-RU" w:eastAsia="en-US"/>
        </w:rPr>
        <w:t xml:space="preserve"> </w:t>
      </w:r>
      <w:r w:rsidRPr="003C626C">
        <w:rPr>
          <w:rFonts w:eastAsia="Newton-Regular"/>
          <w:szCs w:val="24"/>
          <w:lang w:val="ru-RU" w:eastAsia="en-US"/>
        </w:rPr>
        <w:t>образования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А</w:t>
      </w:r>
      <w:r w:rsidR="003363E6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 xml:space="preserve">В. </w:t>
      </w:r>
      <w:proofErr w:type="spellStart"/>
      <w:r w:rsidRPr="003C626C">
        <w:rPr>
          <w:rFonts w:eastAsia="Newton-Bold"/>
          <w:b/>
          <w:bCs/>
          <w:szCs w:val="24"/>
          <w:lang w:val="ru-RU" w:eastAsia="en-US"/>
        </w:rPr>
        <w:t>Клочкова</w:t>
      </w:r>
      <w:proofErr w:type="spellEnd"/>
      <w:r w:rsidRPr="003C626C">
        <w:rPr>
          <w:rFonts w:eastAsia="Newton-Bold"/>
          <w:b/>
          <w:bCs/>
          <w:szCs w:val="24"/>
          <w:lang w:val="ru-RU" w:eastAsia="en-US"/>
        </w:rPr>
        <w:t xml:space="preserve">, </w:t>
      </w:r>
      <w:r w:rsidRPr="003C626C">
        <w:rPr>
          <w:rFonts w:eastAsia="Newton-Italic"/>
          <w:i/>
          <w:iCs/>
          <w:szCs w:val="24"/>
          <w:lang w:val="ru-RU" w:eastAsia="en-US"/>
        </w:rPr>
        <w:t xml:space="preserve">кандидат социологических наук, зав. лабораторией социально-правовых исследований и сравнительного правоведения юридического факультета МГУ </w:t>
      </w:r>
      <w:r w:rsidRPr="003C626C">
        <w:rPr>
          <w:rFonts w:eastAsia="Newton-Regular"/>
          <w:color w:val="FFFFFF"/>
          <w:szCs w:val="24"/>
          <w:lang w:val="ru-RU" w:eastAsia="en-US"/>
        </w:rPr>
        <w:t>13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Н</w:t>
      </w:r>
      <w:r w:rsidR="003363E6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 xml:space="preserve">А. </w:t>
      </w:r>
      <w:proofErr w:type="spellStart"/>
      <w:r w:rsidRPr="003C626C">
        <w:rPr>
          <w:rFonts w:eastAsia="Newton-Bold"/>
          <w:b/>
          <w:bCs/>
          <w:szCs w:val="24"/>
          <w:lang w:val="ru-RU" w:eastAsia="en-US"/>
        </w:rPr>
        <w:t>Хвыля-Олинтер</w:t>
      </w:r>
      <w:proofErr w:type="spellEnd"/>
      <w:r w:rsidRPr="003C626C">
        <w:rPr>
          <w:rFonts w:eastAsia="Newton-Bold"/>
          <w:b/>
          <w:bCs/>
          <w:szCs w:val="24"/>
          <w:lang w:val="ru-RU" w:eastAsia="en-US"/>
        </w:rPr>
        <w:t xml:space="preserve">, </w:t>
      </w:r>
      <w:r w:rsidRPr="003C626C">
        <w:rPr>
          <w:rFonts w:eastAsia="Newton-Italic"/>
          <w:i/>
          <w:iCs/>
          <w:szCs w:val="24"/>
          <w:lang w:val="ru-RU" w:eastAsia="en-US"/>
        </w:rPr>
        <w:t>кандидат социологических наук, старший научный</w:t>
      </w:r>
      <w:r w:rsidR="003363E6" w:rsidRPr="003C626C">
        <w:rPr>
          <w:rFonts w:eastAsia="Newton-Italic"/>
          <w:i/>
          <w:iCs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szCs w:val="24"/>
          <w:lang w:val="ru-RU" w:eastAsia="en-US"/>
        </w:rPr>
        <w:t xml:space="preserve">сотрудник лаборатории социально-правовых исследований и сравнительного правоведения юридического факультета МГУ 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lastRenderedPageBreak/>
        <w:t>Привлечение талантливых абитуриентов как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актуальное направление образовательной</w:t>
      </w:r>
      <w:r w:rsidR="003363E6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стратегии в условиях реформы образования</w:t>
      </w:r>
    </w:p>
    <w:p w:rsidR="003363E6" w:rsidRPr="003C626C" w:rsidRDefault="003363E6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анализируются состояние современной российской системы образования и качество подготовки учеников школ на основе данных официальной</w:t>
      </w:r>
      <w:r w:rsid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статистики и результатов экспертного опроса. Раскрываются особенности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условий, в которых высшие учебные заведения, в том числе юридической направленности, ведут работу по поиску и конкурентному отбору потенциальных абитуриентов. Основной вывод исследования заключается в том, что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реформа образования негативно отразилась на качестве подготовки школьников, поэтому без активной и целенаправленной деятельности по привлечению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талантливых выпускников вузы не смогут в должной мере способствовать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наращиванию социального потенциала молодого поколения страны. Выводы делаются в том числе на основе исследования стратегии привлечения на юридический факультет МГУ имени М. В. Ломоносова способных и мотивированных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абитуриентов.</w:t>
      </w:r>
    </w:p>
    <w:p w:rsidR="00AF7681" w:rsidRPr="003C626C" w:rsidRDefault="00AF7681" w:rsidP="003C626C">
      <w:pPr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система образования, реформа образования, абитуриент,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талантливые учащиеся, высшее учебное заведение, конкуренция, обучение</w:t>
      </w:r>
      <w:r w:rsidR="00291452">
        <w:rPr>
          <w:rFonts w:eastAsia="Newton-Regular"/>
          <w:color w:val="auto"/>
          <w:szCs w:val="24"/>
          <w:lang w:val="ru-RU" w:eastAsia="en-US"/>
        </w:rPr>
        <w:t>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deals with the problem of the modern Russian education system and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="00291452">
        <w:rPr>
          <w:rFonts w:eastAsia="Newton-Italic"/>
          <w:i/>
          <w:iCs/>
          <w:color w:val="auto"/>
          <w:szCs w:val="24"/>
          <w:lang w:eastAsia="en-US"/>
        </w:rPr>
        <w:t>the school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students</w:t>
      </w:r>
      <w:r w:rsidR="00291452">
        <w:rPr>
          <w:rFonts w:eastAsia="Newton-Italic"/>
          <w:i/>
          <w:iCs/>
          <w:color w:val="auto"/>
          <w:szCs w:val="24"/>
          <w:lang w:eastAsia="en-US"/>
        </w:rPr>
        <w:t>’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quality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on the basis of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official statistical data and of the expert’s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opinion. The competitive selection of potential entrants by the high education institutions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depends on specific modern conditions. The main conclusion of the study is that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the education reform had a negative impact on the quality of training at schools. It is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impossible to contribute adequately to enhancing th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e social potential of the young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generation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of the country for modern universities without purposeful involvement of talented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and motivated students. The conclusions based on the study of the system of 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>involve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ment of the talented and motivated students 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to the law faculty of </w:t>
      </w:r>
      <w:proofErr w:type="spellStart"/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>Lomonosov</w:t>
      </w:r>
      <w:proofErr w:type="spellEnd"/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Moscow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University.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education system, educational reform, entrant, talented and motivated</w:t>
      </w:r>
      <w:r w:rsidR="007428B7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students, university, competition, learning.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И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 xml:space="preserve">П. </w:t>
      </w:r>
      <w:proofErr w:type="spellStart"/>
      <w:r w:rsidRPr="003C626C">
        <w:rPr>
          <w:rFonts w:eastAsia="Newton-Bold"/>
          <w:b/>
          <w:bCs/>
          <w:szCs w:val="24"/>
          <w:lang w:val="ru-RU" w:eastAsia="en-US"/>
        </w:rPr>
        <w:t>Кененова</w:t>
      </w:r>
      <w:proofErr w:type="spellEnd"/>
      <w:r w:rsidRPr="003C626C">
        <w:rPr>
          <w:rFonts w:eastAsia="Newton-Italic"/>
          <w:i/>
          <w:iCs/>
          <w:szCs w:val="24"/>
          <w:lang w:val="ru-RU" w:eastAsia="en-US"/>
        </w:rPr>
        <w:t>, доцент кафедры конституционного и муниципального</w:t>
      </w:r>
      <w:r w:rsidR="007428B7" w:rsidRPr="003C626C">
        <w:rPr>
          <w:rFonts w:eastAsia="Newton-Italic"/>
          <w:i/>
          <w:iCs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szCs w:val="24"/>
          <w:lang w:val="ru-RU" w:eastAsia="en-US"/>
        </w:rPr>
        <w:t>права юридического факультета МГУ</w:t>
      </w:r>
      <w:r w:rsidRPr="003C626C">
        <w:rPr>
          <w:rFonts w:eastAsia="Newton-Regular"/>
          <w:color w:val="FFFFFF"/>
          <w:szCs w:val="24"/>
          <w:lang w:val="ru-RU" w:eastAsia="en-US"/>
        </w:rPr>
        <w:t>16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Е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 xml:space="preserve">В. </w:t>
      </w:r>
      <w:proofErr w:type="spellStart"/>
      <w:r w:rsidRPr="003C626C">
        <w:rPr>
          <w:rFonts w:eastAsia="Newton-Bold"/>
          <w:b/>
          <w:bCs/>
          <w:szCs w:val="24"/>
          <w:lang w:val="ru-RU" w:eastAsia="en-US"/>
        </w:rPr>
        <w:t>Норина</w:t>
      </w:r>
      <w:proofErr w:type="spellEnd"/>
      <w:r w:rsidRPr="003C626C">
        <w:rPr>
          <w:rFonts w:eastAsia="Newton-Italic"/>
          <w:i/>
          <w:iCs/>
          <w:szCs w:val="24"/>
          <w:lang w:val="ru-RU" w:eastAsia="en-US"/>
        </w:rPr>
        <w:t>, сотрудник юридического факультета МГУ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Т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>Р. Орехова</w:t>
      </w:r>
      <w:r w:rsidRPr="003C626C">
        <w:rPr>
          <w:rFonts w:eastAsia="Newton-Italic"/>
          <w:i/>
          <w:iCs/>
          <w:szCs w:val="24"/>
          <w:lang w:val="ru-RU" w:eastAsia="en-US"/>
        </w:rPr>
        <w:t>, доцент кафедры теории государства и права юридического факультета МГУ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Конституционно-правовые основы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и практика привлечения профессионально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ориентированных и одаренных абитуриентов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на юридический факультет МГУ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 статье рассматриваются нормативные, в том числе конституционно-правовые основы поиска одаренной молодежи, сориентированной на получение</w:t>
      </w:r>
      <w:r w:rsidR="00291452" w:rsidRP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юридического образования, а также формы работы с ней и практика ее привлечения к обучению на юридическом факультете МГУ имени М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>.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.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Ломоносова.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Особое внимание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lastRenderedPageBreak/>
        <w:t>уделено нормативному регулированию и практике (на примере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олимпиады «Ломоносов») проведения олимпиад школьников по праву.</w:t>
      </w:r>
    </w:p>
    <w:p w:rsidR="00291452" w:rsidRDefault="00291452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>Ключевые слова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: </w:t>
      </w:r>
      <w:r w:rsidRPr="003C626C">
        <w:rPr>
          <w:rFonts w:eastAsia="Newton-Regular"/>
          <w:color w:val="auto"/>
          <w:szCs w:val="24"/>
          <w:lang w:val="ru-RU" w:eastAsia="en-US"/>
        </w:rPr>
        <w:t>конституционное право на образование в России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 xml:space="preserve">, </w:t>
      </w:r>
      <w:r w:rsidRPr="003C626C">
        <w:rPr>
          <w:rFonts w:eastAsia="Newton-Regular"/>
          <w:color w:val="auto"/>
          <w:szCs w:val="24"/>
          <w:lang w:val="ru-RU" w:eastAsia="en-US"/>
        </w:rPr>
        <w:t>государственные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гарантии конституционного права на образование, олимпиады</w:t>
      </w:r>
      <w:r w:rsidR="00291452" w:rsidRPr="00291452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школьников по праву, юридический факультет МГУ имени М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>.</w:t>
      </w:r>
      <w:r w:rsidRPr="003C626C">
        <w:rPr>
          <w:rFonts w:eastAsia="Newton-Regular"/>
          <w:color w:val="auto"/>
          <w:szCs w:val="24"/>
          <w:lang w:val="ru-RU" w:eastAsia="en-US"/>
        </w:rPr>
        <w:t>В. Ломоносова,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профессиональная ориентация абитуриентов.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deals with regulations, including constitutional and legal foundation of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the search for gifted young people finding their way to legal education, as well as ways of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working with them and practice of attracting them to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study at the Faculty of Law in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Moscow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State University. Particular attention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is paid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to the regulation and practice (on the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example of the Olympiad “</w:t>
      </w:r>
      <w:proofErr w:type="spellStart"/>
      <w:r w:rsidRPr="003C626C">
        <w:rPr>
          <w:rFonts w:eastAsia="Newton-Italic"/>
          <w:i/>
          <w:iCs/>
          <w:color w:val="auto"/>
          <w:szCs w:val="24"/>
          <w:lang w:eastAsia="en-US"/>
        </w:rPr>
        <w:t>Lomonosov</w:t>
      </w:r>
      <w:proofErr w:type="spellEnd"/>
      <w:r w:rsidRPr="003C626C">
        <w:rPr>
          <w:rFonts w:eastAsia="Newton-Italic"/>
          <w:i/>
          <w:iCs/>
          <w:color w:val="auto"/>
          <w:szCs w:val="24"/>
          <w:lang w:eastAsia="en-US"/>
        </w:rPr>
        <w:t>”) of the Olympiad on the subject of law for pupils.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constitutional right to education in Russia, state guarantees of the</w:t>
      </w:r>
      <w:r w:rsidR="007428B7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constitutional right to education, Olympiads on the subjects of law, Moscow State</w:t>
      </w:r>
      <w:r w:rsidR="007428B7" w:rsidRPr="003C626C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University Faculty of Law, professional orientation of applicants.</w:t>
      </w:r>
    </w:p>
    <w:p w:rsidR="00AF7681" w:rsidRPr="003C626C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szCs w:val="24"/>
          <w:lang w:val="ru-RU" w:eastAsia="en-US"/>
        </w:rPr>
      </w:pPr>
      <w:r w:rsidRPr="003C626C">
        <w:rPr>
          <w:rFonts w:eastAsia="Newton-Regular"/>
          <w:szCs w:val="24"/>
          <w:lang w:val="ru-RU" w:eastAsia="en-US"/>
        </w:rPr>
        <w:t>Наука и право за рубежом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А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>.</w:t>
      </w:r>
      <w:r w:rsidRPr="003C626C">
        <w:rPr>
          <w:rFonts w:eastAsia="Newton-Bold"/>
          <w:b/>
          <w:bCs/>
          <w:szCs w:val="24"/>
          <w:lang w:val="ru-RU" w:eastAsia="en-US"/>
        </w:rPr>
        <w:t xml:space="preserve">В. </w:t>
      </w:r>
      <w:proofErr w:type="spellStart"/>
      <w:r w:rsidRPr="003C626C">
        <w:rPr>
          <w:rFonts w:eastAsia="Newton-Bold"/>
          <w:b/>
          <w:bCs/>
          <w:szCs w:val="24"/>
          <w:lang w:val="ru-RU" w:eastAsia="en-US"/>
        </w:rPr>
        <w:t>Малешина</w:t>
      </w:r>
      <w:proofErr w:type="spellEnd"/>
      <w:r w:rsidRPr="003C626C">
        <w:rPr>
          <w:rFonts w:eastAsia="Newton-Bold"/>
          <w:b/>
          <w:bCs/>
          <w:szCs w:val="24"/>
          <w:lang w:val="ru-RU" w:eastAsia="en-US"/>
        </w:rPr>
        <w:t xml:space="preserve">, </w:t>
      </w:r>
      <w:r w:rsidRPr="003C626C">
        <w:rPr>
          <w:rFonts w:eastAsia="Newton-Italic"/>
          <w:i/>
          <w:iCs/>
          <w:szCs w:val="24"/>
          <w:lang w:val="ru-RU" w:eastAsia="en-US"/>
        </w:rPr>
        <w:t>кандидат юридических наук, доцент кафедры уголовного права и криминологии юридического факультета МГУ</w:t>
      </w:r>
      <w:r w:rsidRPr="003C626C">
        <w:rPr>
          <w:rFonts w:eastAsia="Newton-Italic"/>
          <w:i/>
          <w:iCs/>
          <w:color w:val="FFFFFF"/>
          <w:szCs w:val="24"/>
          <w:lang w:val="ru-RU" w:eastAsia="en-US"/>
        </w:rPr>
        <w:t>1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К вопросу о правовой регламентации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искусственного прерывания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беременности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в США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291452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Статья посвящена актуальным проблемам правового регулирования искусственного прерывания беременности в США. В статье рассматриваются</w:t>
      </w:r>
      <w:r w:rsidR="00291452" w:rsidRP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основные подходы к установлению критериев законности проведения абортов,</w:t>
      </w:r>
      <w:r w:rsidR="00291452" w:rsidRP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выработанные американскими штатами, проводится исторический анализ</w:t>
      </w:r>
      <w:r w:rsidR="00291452" w:rsidRP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формирования этико-правового статуса искусственного прерывания беременности, а также исследуются сложившиеся способы решения этического конфликта интересов матери и ребенка и наиболее сложные и спорные моменты</w:t>
      </w:r>
    </w:p>
    <w:p w:rsidR="00AF7681" w:rsidRPr="003C626C" w:rsidRDefault="00AF7681" w:rsidP="00291452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практической реализации данного конфликта.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Italic"/>
          <w:iCs/>
          <w:color w:val="auto"/>
          <w:szCs w:val="24"/>
          <w:lang w:val="ru-RU" w:eastAsia="en-US"/>
        </w:rPr>
        <w:t>искусственное прерывание беременности, охрана «будущей жизни», репродуктивные права граждан, право на аборт, американское</w:t>
      </w:r>
      <w:r w:rsidR="007428B7" w:rsidRPr="003C626C">
        <w:rPr>
          <w:rFonts w:eastAsia="Newton-Italic"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Cs/>
          <w:color w:val="auto"/>
          <w:szCs w:val="24"/>
          <w:lang w:val="ru-RU" w:eastAsia="en-US"/>
        </w:rPr>
        <w:t>уголовное право, плод человека, достижение жизнеспособности, криминальный</w:t>
      </w:r>
      <w:r w:rsidR="007428B7" w:rsidRPr="003C626C">
        <w:rPr>
          <w:rFonts w:eastAsia="Newton-Italic"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Cs/>
          <w:color w:val="auto"/>
          <w:szCs w:val="24"/>
          <w:lang w:val="ru-RU" w:eastAsia="en-US"/>
        </w:rPr>
        <w:t>аборт.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Abortion laws are constantly changing in the USA,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especially as more time passes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since the biggest abortion case, Roe v. Wade,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was decided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>. Ever since then, abortion in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the United States has been legal, and women have a right to choose whether to have an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abortion during the early stages of her pregnancy.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However, states </w:t>
      </w:r>
      <w:proofErr w:type="gramStart"/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>are allowed</w:t>
      </w:r>
      <w:proofErr w:type="gramEnd"/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to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regulate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certain aspects of abortion after the first trimester, such as imposing counseling, waiting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periods, and other requirements. During the third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trimester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there is generally little or no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legal way to have an abortion. In this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paper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we examine the current issues of the abortion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lastRenderedPageBreak/>
        <w:t>regulation in the American legislatio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ns and modern approaches to the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criminal liability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for the criminal abortion.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b/>
          <w:bCs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Italic"/>
          <w:iCs/>
          <w:color w:val="auto"/>
          <w:szCs w:val="24"/>
          <w:lang w:eastAsia="en-US"/>
        </w:rPr>
        <w:t>abortion requirements, American criminal law, criminal abortion, right</w:t>
      </w:r>
      <w:r w:rsidR="007428B7" w:rsidRPr="003C626C">
        <w:rPr>
          <w:rFonts w:eastAsia="Newton-Italic"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Cs/>
          <w:color w:val="auto"/>
          <w:szCs w:val="24"/>
          <w:lang w:eastAsia="en-US"/>
        </w:rPr>
        <w:t>to have an abortion, viability test, human reproductive rights, birth control politics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.</w:t>
      </w:r>
    </w:p>
    <w:p w:rsidR="00AF7681" w:rsidRPr="003C626C" w:rsidRDefault="00AF7681" w:rsidP="003C626C">
      <w:pPr>
        <w:jc w:val="both"/>
        <w:rPr>
          <w:rFonts w:eastAsia="Newton-Italic"/>
          <w:i/>
          <w:iCs/>
          <w:color w:val="auto"/>
          <w:szCs w:val="24"/>
          <w:lang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szCs w:val="24"/>
          <w:lang w:val="ru-RU" w:eastAsia="en-US"/>
        </w:rPr>
      </w:pPr>
      <w:r w:rsidRPr="003C626C">
        <w:rPr>
          <w:rFonts w:eastAsia="Newton-Regular"/>
          <w:szCs w:val="24"/>
          <w:lang w:val="ru-RU" w:eastAsia="en-US"/>
        </w:rPr>
        <w:t>Научное сообщение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 xml:space="preserve">А.А. </w:t>
      </w:r>
      <w:proofErr w:type="spellStart"/>
      <w:r w:rsidRPr="003C626C">
        <w:rPr>
          <w:rFonts w:eastAsia="Newton-Bold"/>
          <w:b/>
          <w:bCs/>
          <w:szCs w:val="24"/>
          <w:lang w:val="ru-RU" w:eastAsia="en-US"/>
        </w:rPr>
        <w:t>Веденин</w:t>
      </w:r>
      <w:proofErr w:type="spellEnd"/>
      <w:r w:rsidRPr="003C626C">
        <w:rPr>
          <w:rFonts w:eastAsia="Newton-Italic"/>
          <w:i/>
          <w:iCs/>
          <w:szCs w:val="24"/>
          <w:lang w:val="ru-RU" w:eastAsia="en-US"/>
        </w:rPr>
        <w:t>, главный специалист отдела сопровождения договоров (Департамент развития и сопровождения инфраструктуры АО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FFFFFF"/>
          <w:szCs w:val="24"/>
          <w:lang w:val="ru-RU" w:eastAsia="en-US"/>
        </w:rPr>
      </w:pPr>
      <w:r w:rsidRPr="003C626C">
        <w:rPr>
          <w:rFonts w:eastAsia="Newton-Italic"/>
          <w:i/>
          <w:iCs/>
          <w:szCs w:val="24"/>
          <w:lang w:val="ru-RU" w:eastAsia="en-US"/>
        </w:rPr>
        <w:t>«БИНБАНК кредитные карты»)</w:t>
      </w:r>
      <w:r w:rsidRPr="003C626C">
        <w:rPr>
          <w:rFonts w:eastAsia="Newton-Regular"/>
          <w:color w:val="FFFFFF"/>
          <w:szCs w:val="24"/>
          <w:lang w:val="ru-RU" w:eastAsia="en-US"/>
        </w:rPr>
        <w:t>55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Сравнительно-правовой анализ понятий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«единый недвижимый комплекс»,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szCs w:val="24"/>
          <w:lang w:val="ru-RU" w:eastAsia="en-US"/>
        </w:rPr>
      </w:pPr>
      <w:r w:rsidRPr="003C626C">
        <w:rPr>
          <w:rFonts w:eastAsia="Newton-Bold"/>
          <w:b/>
          <w:bCs/>
          <w:szCs w:val="24"/>
          <w:lang w:val="ru-RU" w:eastAsia="en-US"/>
        </w:rPr>
        <w:t>«предприятие как имущественный комплекс»</w:t>
      </w:r>
      <w:r w:rsidR="007428B7" w:rsidRPr="003C626C">
        <w:rPr>
          <w:rFonts w:eastAsia="Newton-Bold"/>
          <w:b/>
          <w:bCs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szCs w:val="24"/>
          <w:lang w:val="ru-RU" w:eastAsia="en-US"/>
        </w:rPr>
        <w:t>и «комплекс имущества»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Статья посвящена сравнительно-правовой характеристике понятий «единый недвижимый комплекс» и «предприятие как имущественный комплекс». Выявлены теоретические и практические недостатки понятия «предприятие как</w:t>
      </w:r>
      <w:r w:rsidR="00291452" w:rsidRPr="00291452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имущественный комплекс». Доказано в теории и подтверждено примерами судебно-арбитражной практики, что правовое положение имущественных комплексов, которые не используются в предпринимательской деятельности или не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созданы для данной цели, действующим гражданским законодательством РФ не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определено. В целях восполнения выявленного пробела предложено новое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правовое</w:t>
      </w:r>
      <w:r w:rsidR="007428B7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понятие «комплекс имущества».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val="ru-RU"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val="ru-RU" w:eastAsia="en-US"/>
        </w:rPr>
        <w:t xml:space="preserve">Ключевые слова: </w:t>
      </w:r>
      <w:r w:rsidRPr="003C626C">
        <w:rPr>
          <w:rFonts w:eastAsia="Newton-Regular"/>
          <w:color w:val="auto"/>
          <w:szCs w:val="24"/>
          <w:lang w:val="ru-RU" w:eastAsia="en-US"/>
        </w:rPr>
        <w:t>предприятие, единый недвижимый комплекс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 xml:space="preserve">, </w:t>
      </w:r>
      <w:r w:rsidRPr="003C626C">
        <w:rPr>
          <w:rFonts w:eastAsia="Newton-Regular"/>
          <w:color w:val="auto"/>
          <w:szCs w:val="24"/>
          <w:lang w:val="ru-RU" w:eastAsia="en-US"/>
        </w:rPr>
        <w:t>непредпринимательский</w:t>
      </w:r>
      <w:r w:rsidR="007428B7" w:rsidRPr="003C626C">
        <w:rPr>
          <w:rFonts w:eastAsia="Newton-Regular"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Regular"/>
          <w:color w:val="auto"/>
          <w:szCs w:val="24"/>
          <w:lang w:val="ru-RU" w:eastAsia="en-US"/>
        </w:rPr>
        <w:t>имущественный комплекс, комплекс имущества.</w:t>
      </w:r>
    </w:p>
    <w:p w:rsidR="007428B7" w:rsidRPr="00291452" w:rsidRDefault="007428B7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eastAsia="en-US"/>
        </w:rPr>
      </w:pPr>
      <w:r w:rsidRPr="003C626C">
        <w:rPr>
          <w:rFonts w:eastAsia="Newton-Italic"/>
          <w:i/>
          <w:iCs/>
          <w:color w:val="auto"/>
          <w:szCs w:val="24"/>
          <w:lang w:eastAsia="en-US"/>
        </w:rPr>
        <w:t>The article is devoted to the legal character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ization of a relatively uniform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concepts “single real estate complex” and “enterprise as a property complex”. Revealed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theoretical and practical shortcomings of the concept of “enterprise as a property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complex”. It is proved in theory and exemplified judicial practice that the legal status of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property complexes, which are not used in the business or have not been established for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this purpose by the civil legislation of the Russian </w:t>
      </w:r>
      <w:proofErr w:type="gramStart"/>
      <w:r w:rsidRPr="003C626C">
        <w:rPr>
          <w:rFonts w:eastAsia="Newton-Italic"/>
          <w:i/>
          <w:iCs/>
          <w:color w:val="auto"/>
          <w:szCs w:val="24"/>
          <w:lang w:eastAsia="en-US"/>
        </w:rPr>
        <w:t>Federation</w:t>
      </w:r>
      <w:proofErr w:type="gramEnd"/>
      <w:r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is not defined. In order to</w:t>
      </w:r>
      <w:r w:rsidR="007428B7" w:rsidRPr="003C626C">
        <w:rPr>
          <w:rFonts w:eastAsia="Newton-Italic"/>
          <w:i/>
          <w:iCs/>
          <w:color w:val="auto"/>
          <w:szCs w:val="24"/>
          <w:lang w:eastAsia="en-US"/>
        </w:rPr>
        <w:t xml:space="preserve">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fill the gaps identified it is suggested a new legal concept of “property complex”.</w:t>
      </w: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b/>
          <w:bCs/>
          <w:i/>
          <w:iCs/>
          <w:color w:val="auto"/>
          <w:szCs w:val="24"/>
          <w:lang w:eastAsia="en-US"/>
        </w:rPr>
      </w:pPr>
    </w:p>
    <w:p w:rsidR="00AF7681" w:rsidRPr="00291452" w:rsidRDefault="00AF7681" w:rsidP="00291452">
      <w:pPr>
        <w:autoSpaceDE w:val="0"/>
        <w:autoSpaceDN w:val="0"/>
        <w:adjustRightInd w:val="0"/>
        <w:jc w:val="both"/>
        <w:rPr>
          <w:rFonts w:eastAsia="Newton-Regular"/>
          <w:color w:val="auto"/>
          <w:szCs w:val="24"/>
          <w:lang w:eastAsia="en-US"/>
        </w:rPr>
      </w:pPr>
      <w:r w:rsidRPr="003C626C">
        <w:rPr>
          <w:rFonts w:eastAsia="Newton-Italic"/>
          <w:b/>
          <w:bCs/>
          <w:i/>
          <w:iCs/>
          <w:color w:val="auto"/>
          <w:szCs w:val="24"/>
          <w:lang w:eastAsia="en-US"/>
        </w:rPr>
        <w:t xml:space="preserve">Keywords: </w:t>
      </w:r>
      <w:r w:rsidRPr="003C626C">
        <w:rPr>
          <w:rFonts w:eastAsia="Newton-Regular"/>
          <w:color w:val="auto"/>
          <w:szCs w:val="24"/>
          <w:lang w:eastAsia="en-US"/>
        </w:rPr>
        <w:t>enterprise, single real estate complex, enterprise as a property complex,</w:t>
      </w:r>
      <w:r w:rsidR="00291452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property</w:t>
      </w:r>
      <w:r w:rsidRPr="00291452">
        <w:rPr>
          <w:rFonts w:eastAsia="Newton-Regular"/>
          <w:color w:val="auto"/>
          <w:szCs w:val="24"/>
          <w:lang w:eastAsia="en-US"/>
        </w:rPr>
        <w:t xml:space="preserve"> </w:t>
      </w:r>
      <w:r w:rsidRPr="003C626C">
        <w:rPr>
          <w:rFonts w:eastAsia="Newton-Regular"/>
          <w:color w:val="auto"/>
          <w:szCs w:val="24"/>
          <w:lang w:eastAsia="en-US"/>
        </w:rPr>
        <w:t>complex</w:t>
      </w:r>
      <w:r w:rsidRPr="00291452">
        <w:rPr>
          <w:rFonts w:eastAsia="Newton-Regular"/>
          <w:color w:val="auto"/>
          <w:szCs w:val="24"/>
          <w:lang w:eastAsia="en-US"/>
        </w:rPr>
        <w:t>.</w:t>
      </w:r>
    </w:p>
    <w:p w:rsidR="00AF7681" w:rsidRPr="00291452" w:rsidRDefault="00AF7681" w:rsidP="003C626C">
      <w:pPr>
        <w:jc w:val="both"/>
        <w:rPr>
          <w:rFonts w:eastAsia="Newton-Regular"/>
          <w:color w:val="auto"/>
          <w:szCs w:val="24"/>
          <w:lang w:eastAsia="en-US"/>
        </w:rPr>
      </w:pPr>
    </w:p>
    <w:p w:rsidR="00AF7681" w:rsidRPr="00291452" w:rsidRDefault="00AF7681" w:rsidP="003C626C">
      <w:pPr>
        <w:jc w:val="both"/>
        <w:rPr>
          <w:rFonts w:eastAsia="Newton-Regular"/>
          <w:color w:val="auto"/>
          <w:szCs w:val="24"/>
          <w:lang w:val="ru-RU" w:eastAsia="en-US"/>
        </w:rPr>
      </w:pPr>
      <w:r w:rsidRPr="00291452">
        <w:rPr>
          <w:rFonts w:eastAsia="Newton-Regular"/>
          <w:color w:val="auto"/>
          <w:szCs w:val="24"/>
          <w:lang w:val="ru-RU" w:eastAsia="en-US"/>
        </w:rPr>
        <w:t>Научная жизнь</w:t>
      </w:r>
    </w:p>
    <w:p w:rsidR="00AF7681" w:rsidRPr="00291452" w:rsidRDefault="00AF7681" w:rsidP="003C626C">
      <w:pPr>
        <w:jc w:val="both"/>
        <w:rPr>
          <w:rFonts w:eastAsia="Newton-Regular"/>
          <w:color w:val="auto"/>
          <w:szCs w:val="24"/>
          <w:lang w:val="ru-RU" w:eastAsia="en-US"/>
        </w:rPr>
      </w:pP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b/>
          <w:bCs/>
          <w:i/>
          <w:iCs/>
          <w:color w:val="auto"/>
          <w:szCs w:val="24"/>
          <w:lang w:val="ru-RU" w:eastAsia="en-US"/>
        </w:rPr>
        <w:t>О.</w:t>
      </w:r>
      <w:r w:rsidR="00AF7681" w:rsidRPr="003C626C">
        <w:rPr>
          <w:b/>
          <w:bCs/>
          <w:i/>
          <w:iCs/>
          <w:color w:val="auto"/>
          <w:szCs w:val="24"/>
          <w:lang w:val="ru-RU" w:eastAsia="en-US"/>
        </w:rPr>
        <w:t xml:space="preserve">В. Костылева, </w:t>
      </w:r>
      <w:r w:rsidR="00AF7681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ассистент кафедры уголовного права и криминологии юридического факультета МГУ, координатор </w:t>
      </w:r>
      <w:r w:rsidR="00AF7681" w:rsidRPr="003C626C">
        <w:rPr>
          <w:rFonts w:eastAsia="Newton-Italic"/>
          <w:i/>
          <w:iCs/>
          <w:color w:val="auto"/>
          <w:szCs w:val="24"/>
          <w:lang w:eastAsia="en-US"/>
        </w:rPr>
        <w:t>X</w:t>
      </w:r>
      <w:r w:rsidR="00AF7681"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Российского конгресса уголовного права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</w:p>
    <w:p w:rsidR="00291452" w:rsidRDefault="00291452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eastAsia="en-US"/>
        </w:rPr>
      </w:pP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bookmarkStart w:id="0" w:name="_GoBack"/>
      <w:bookmarkEnd w:id="0"/>
      <w:r w:rsidRPr="003C626C">
        <w:rPr>
          <w:rFonts w:eastAsia="Newton-Bold"/>
          <w:b/>
          <w:bCs/>
          <w:color w:val="auto"/>
          <w:szCs w:val="24"/>
          <w:lang w:eastAsia="en-US"/>
        </w:rPr>
        <w:lastRenderedPageBreak/>
        <w:t>X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Российский конгресс уголовного права «Криминологические основы уголовного права»</w:t>
      </w: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7428B7" w:rsidRPr="003C626C" w:rsidRDefault="007428B7" w:rsidP="003C626C">
      <w:pPr>
        <w:autoSpaceDE w:val="0"/>
        <w:autoSpaceDN w:val="0"/>
        <w:adjustRightInd w:val="0"/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  <w:r w:rsidRPr="003C626C">
        <w:rPr>
          <w:b/>
          <w:bCs/>
          <w:i/>
          <w:iCs/>
          <w:color w:val="auto"/>
          <w:szCs w:val="24"/>
          <w:lang w:val="ru-RU" w:eastAsia="en-US"/>
        </w:rPr>
        <w:t xml:space="preserve">И.Ю. </w:t>
      </w:r>
      <w:proofErr w:type="spellStart"/>
      <w:r w:rsidRPr="003C626C">
        <w:rPr>
          <w:b/>
          <w:bCs/>
          <w:i/>
          <w:iCs/>
          <w:color w:val="auto"/>
          <w:szCs w:val="24"/>
          <w:lang w:val="ru-RU" w:eastAsia="en-US"/>
        </w:rPr>
        <w:t>Гульбинович</w:t>
      </w:r>
      <w:proofErr w:type="spellEnd"/>
      <w:r w:rsidRPr="003C626C">
        <w:rPr>
          <w:b/>
          <w:bCs/>
          <w:i/>
          <w:iCs/>
          <w:color w:val="auto"/>
          <w:szCs w:val="24"/>
          <w:lang w:val="ru-RU" w:eastAsia="en-US"/>
        </w:rPr>
        <w:t xml:space="preserve">, </w:t>
      </w:r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инженер 1 категории учебной криминалистической лаборатории кафедры криминалистики, </w:t>
      </w:r>
      <w:r w:rsidRPr="003C626C">
        <w:rPr>
          <w:rFonts w:eastAsia="Newton-Italic"/>
          <w:i/>
          <w:iCs/>
          <w:color w:val="auto"/>
          <w:szCs w:val="24"/>
          <w:lang w:eastAsia="en-US"/>
        </w:rPr>
        <w:t>c</w:t>
      </w:r>
      <w:proofErr w:type="spellStart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>оискатель</w:t>
      </w:r>
      <w:proofErr w:type="spellEnd"/>
      <w:r w:rsidRPr="003C626C">
        <w:rPr>
          <w:rFonts w:eastAsia="Newton-Italic"/>
          <w:i/>
          <w:iCs/>
          <w:color w:val="auto"/>
          <w:szCs w:val="24"/>
          <w:lang w:val="ru-RU" w:eastAsia="en-US"/>
        </w:rPr>
        <w:t xml:space="preserve"> кафедры криминалистики юридического факультета МГУ</w:t>
      </w:r>
    </w:p>
    <w:p w:rsidR="00AF7681" w:rsidRPr="003C626C" w:rsidRDefault="00AF7681" w:rsidP="003C626C">
      <w:pPr>
        <w:jc w:val="both"/>
        <w:rPr>
          <w:rFonts w:eastAsia="Newton-Italic"/>
          <w:i/>
          <w:iCs/>
          <w:color w:val="auto"/>
          <w:szCs w:val="24"/>
          <w:lang w:val="ru-RU" w:eastAsia="en-US"/>
        </w:rPr>
      </w:pPr>
    </w:p>
    <w:p w:rsidR="00AF7681" w:rsidRPr="003C626C" w:rsidRDefault="00AF7681" w:rsidP="003C626C">
      <w:pPr>
        <w:autoSpaceDE w:val="0"/>
        <w:autoSpaceDN w:val="0"/>
        <w:adjustRightInd w:val="0"/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Электронные носители информации</w:t>
      </w:r>
      <w:r w:rsidR="007428B7" w:rsidRPr="003C626C">
        <w:rPr>
          <w:rFonts w:eastAsia="Newton-Bold"/>
          <w:b/>
          <w:bCs/>
          <w:color w:val="auto"/>
          <w:szCs w:val="24"/>
          <w:lang w:val="ru-RU" w:eastAsia="en-US"/>
        </w:rPr>
        <w:t xml:space="preserve"> </w:t>
      </w: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в криминалистике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  <w:r w:rsidRPr="003C626C">
        <w:rPr>
          <w:rFonts w:eastAsia="Newton-Bold"/>
          <w:b/>
          <w:bCs/>
          <w:color w:val="auto"/>
          <w:szCs w:val="24"/>
          <w:lang w:val="ru-RU" w:eastAsia="en-US"/>
        </w:rPr>
        <w:t>(обзор круглого стола)</w:t>
      </w:r>
    </w:p>
    <w:p w:rsidR="00AF7681" w:rsidRPr="003C626C" w:rsidRDefault="00AF7681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3C626C" w:rsidRPr="003C626C" w:rsidRDefault="003C626C" w:rsidP="003C626C">
      <w:pPr>
        <w:jc w:val="both"/>
        <w:rPr>
          <w:rFonts w:eastAsia="Newton-Bold"/>
          <w:b/>
          <w:bCs/>
          <w:color w:val="auto"/>
          <w:szCs w:val="24"/>
          <w:lang w:val="ru-RU" w:eastAsia="en-US"/>
        </w:rPr>
      </w:pPr>
    </w:p>
    <w:p w:rsidR="00AF7681" w:rsidRPr="00AF7681" w:rsidRDefault="00AF7681" w:rsidP="003C626C">
      <w:pPr>
        <w:jc w:val="both"/>
        <w:rPr>
          <w:szCs w:val="24"/>
        </w:rPr>
      </w:pPr>
      <w:proofErr w:type="spellStart"/>
      <w:r w:rsidRPr="003C626C">
        <w:rPr>
          <w:rFonts w:eastAsia="Newton-Bold"/>
          <w:b/>
          <w:bCs/>
          <w:color w:val="auto"/>
          <w:szCs w:val="24"/>
          <w:lang w:eastAsia="en-US"/>
        </w:rPr>
        <w:t>Евгений</w:t>
      </w:r>
      <w:proofErr w:type="spellEnd"/>
      <w:r w:rsidRPr="003C626C">
        <w:rPr>
          <w:rFonts w:eastAsia="Newton-Bold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3C626C">
        <w:rPr>
          <w:rFonts w:eastAsia="Newton-Bold"/>
          <w:b/>
          <w:bCs/>
          <w:color w:val="auto"/>
          <w:szCs w:val="24"/>
          <w:lang w:eastAsia="en-US"/>
        </w:rPr>
        <w:t>Владимирович</w:t>
      </w:r>
      <w:proofErr w:type="spellEnd"/>
      <w:r w:rsidRPr="003C626C">
        <w:rPr>
          <w:rFonts w:eastAsia="Newton-Bold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3C626C">
        <w:rPr>
          <w:rFonts w:eastAsia="Newton-Bold"/>
          <w:b/>
          <w:bCs/>
          <w:color w:val="auto"/>
          <w:szCs w:val="24"/>
          <w:lang w:eastAsia="en-US"/>
        </w:rPr>
        <w:t>Кукушкин</w:t>
      </w:r>
      <w:proofErr w:type="spellEnd"/>
      <w:r w:rsidRPr="00AF7681">
        <w:rPr>
          <w:rFonts w:eastAsia="Newton-Bold"/>
          <w:b/>
          <w:bCs/>
          <w:color w:val="auto"/>
          <w:szCs w:val="24"/>
          <w:lang w:eastAsia="en-US"/>
        </w:rPr>
        <w:t xml:space="preserve"> (1929–2016)</w:t>
      </w:r>
    </w:p>
    <w:sectPr w:rsidR="00AF7681" w:rsidRPr="00AF76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-Bold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81"/>
    <w:rsid w:val="00044A5B"/>
    <w:rsid w:val="00217FF1"/>
    <w:rsid w:val="00291452"/>
    <w:rsid w:val="003363E6"/>
    <w:rsid w:val="003C626C"/>
    <w:rsid w:val="00516392"/>
    <w:rsid w:val="006B78DA"/>
    <w:rsid w:val="007428B7"/>
    <w:rsid w:val="00841A50"/>
    <w:rsid w:val="008D6C29"/>
    <w:rsid w:val="00AF7681"/>
    <w:rsid w:val="00C1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6B506-4DC6-4361-AA16-D37F972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81"/>
    <w:rPr>
      <w:color w:val="000000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Andrey Mazurkov</cp:lastModifiedBy>
  <cp:revision>2</cp:revision>
  <dcterms:created xsi:type="dcterms:W3CDTF">2016-08-25T04:54:00Z</dcterms:created>
  <dcterms:modified xsi:type="dcterms:W3CDTF">2016-08-26T05:14:00Z</dcterms:modified>
</cp:coreProperties>
</file>